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0" w:firstLine="0" w:left="-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3059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6545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19051" r="0" b="0"/>
                        <a:stretch/>
                      </pic:blipFill>
                      <pic:spPr bwMode="auto">
                        <a:xfrm flipH="0" flipV="0">
                          <a:off x="0" y="0"/>
                          <a:ext cx="5940424" cy="2830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222.88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Программа:</w:t>
      </w:r>
      <w:r>
        <w:rPr>
          <w:sz w:val="32"/>
          <w:szCs w:val="32"/>
        </w:rPr>
      </w:r>
    </w:p>
    <w:p>
      <w:pPr>
        <w:pStyle w:val="633"/>
        <w:numPr>
          <w:ilvl w:val="0"/>
          <w:numId w:val="1"/>
        </w:numPr>
        <w:pBdr/>
        <w:spacing/>
        <w:ind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Знакомство с профессией официанта</w:t>
      </w:r>
      <w:r>
        <w:rPr>
          <w:rFonts w:cstheme="minorHAnsi"/>
          <w:b/>
          <w:bCs/>
          <w:sz w:val="24"/>
          <w:szCs w:val="24"/>
        </w:rPr>
      </w:r>
    </w:p>
    <w:p>
      <w:pPr>
        <w:numPr>
          <w:ilvl w:val="0"/>
          <w:numId w:val="2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Кто такой официант?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2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Специфика работы.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2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Функции и качества официанта.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2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Основные правила работы.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2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Порт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р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е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т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 идеального официанта в глазах 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гостей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2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Стандарты внешнего вида для различных форматов заведений 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HoReCa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numPr>
          <w:ilvl w:val="0"/>
          <w:numId w:val="1"/>
        </w:numPr>
        <w:pBdr/>
        <w:spacing/>
        <w:ind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Инвентарь официанта, оборудование и посуда для напитков</w:t>
      </w:r>
      <w:r>
        <w:rPr>
          <w:rFonts w:cstheme="minorHAnsi"/>
          <w:b/>
          <w:bCs/>
          <w:sz w:val="24"/>
          <w:szCs w:val="24"/>
        </w:rPr>
      </w:r>
    </w:p>
    <w:p>
      <w:pPr>
        <w:numPr>
          <w:ilvl w:val="0"/>
          <w:numId w:val="3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Какой инвентарь используется официантом?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3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Как правильно работать инвентарем.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3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Разновидности аксессуаров, необходимые для работы официантов.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3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Полный разбор посуды для напитков, названия бокалов, для каких напитков используются, правила подачи напитков в разных бокалах.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3"/>
        </w:numPr>
        <w:pBdr/>
        <w:spacing w:after="300" w:line="240" w:lineRule="auto"/>
        <w:ind/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  <w:t xml:space="preserve">Как правильно натирать и работать с барным стеклом.</w:t>
      </w:r>
      <w:r>
        <w:rPr>
          <w:rFonts w:eastAsia="Times New Roman" w:cstheme="minorHAnsi"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numPr>
          <w:ilvl w:val="0"/>
          <w:numId w:val="1"/>
        </w:numPr>
        <w:pBdr/>
        <w:spacing w:after="300"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  <w:t xml:space="preserve">Столовое белье. Посуда для подачи блюд, приборы</w:t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numPr>
          <w:ilvl w:val="0"/>
          <w:numId w:val="1"/>
        </w:numPr>
        <w:pBdr/>
        <w:spacing w:after="300"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cstheme="minorHAnsi"/>
          <w:b/>
          <w:bCs/>
          <w:sz w:val="24"/>
          <w:szCs w:val="24"/>
        </w:rPr>
        <w:t xml:space="preserve">Сервировка</w:t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numPr>
          <w:ilvl w:val="0"/>
          <w:numId w:val="1"/>
        </w:numPr>
        <w:pBdr/>
        <w:spacing w:after="300"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  <w:t xml:space="preserve">Знания по сервису и внутренней организации работы официанта</w:t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pBdr/>
        <w:spacing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pBdr/>
        <w:spacing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pBdr/>
        <w:spacing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pBdr/>
        <w:spacing w:line="276" w:lineRule="auto"/>
        <w:ind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Шаги сервиса.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Порядок выполнения заказов.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Как сделать гостя постоянным.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Правильный алгоритм общения с гостем.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Основные правила и методы продаж.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Как зарабатывать больше ча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евых,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 секреты правильного гостеприимства.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numPr>
          <w:ilvl w:val="0"/>
          <w:numId w:val="4"/>
        </w:numPr>
        <w:pBdr/>
        <w:spacing w:after="300" w:line="240" w:lineRule="auto"/>
        <w:ind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  <w:t xml:space="preserve">Правила организации и подготовки рабочего места для быстрой и качественной работы.</w:t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pBdr/>
        <w:spacing w:after="300" w:line="240" w:lineRule="auto"/>
        <w:ind w:left="360"/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pP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  <w:r>
        <w:rPr>
          <w:rFonts w:ascii="inherit" w:hAnsi="inherit" w:eastAsia="Times New Roman" w:cs="Arial"/>
          <w:color w:val="151515"/>
          <w:sz w:val="24"/>
          <w:szCs w:val="24"/>
          <w:lang w:eastAsia="ru-RU"/>
          <w14:ligatures w14:val="none"/>
        </w:rPr>
      </w:r>
    </w:p>
    <w:p>
      <w:pPr>
        <w:pStyle w:val="633"/>
        <w:pBdr/>
        <w:spacing w:after="300" w:line="240" w:lineRule="auto"/>
        <w:ind w:left="1140"/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  <w:r>
        <w:rPr>
          <w:rFonts w:eastAsia="Times New Roman" w:cstheme="minorHAnsi"/>
          <w:b/>
          <w:bCs/>
          <w:color w:val="151515"/>
          <w:sz w:val="24"/>
          <w:szCs w:val="24"/>
          <w:lang w:eastAsia="ru-RU"/>
          <w14:ligatures w14:val="none"/>
        </w:rPr>
      </w:r>
    </w:p>
    <w:sectPr>
      <w:footnotePr/>
      <w:endnotePr/>
      <w:type w:val="nextPage"/>
      <w:pgSz w:h="16838" w:orient="landscape" w:w="11906"/>
      <w:pgMar w:top="567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inherit">
    <w:panose1 w:val="02040503050201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true"/>
      <w:lvlJc w:val="left"/>
      <w:lvlText w:val="%1.%2"/>
      <w:numFmt w:val="decimal"/>
      <w:pPr>
        <w:pBdr/>
        <w:spacing/>
        <w:ind w:hanging="420" w:left="1140"/>
      </w:pPr>
      <w:rPr>
        <w:rFonts w:hint="default"/>
      </w:rPr>
      <w:start w:val="1"/>
      <w:suff w:val="space"/>
    </w:lvl>
    <w:lvl w:ilvl="2">
      <w:isLgl w:val="true"/>
      <w:lvlJc w:val="left"/>
      <w:lvlText w:val="%1.%2.%3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3">
      <w:isLgl w:val="true"/>
      <w:lvlJc w:val="left"/>
      <w:lvlText w:val="%1.%2.%3.%4"/>
      <w:numFmt w:val="decimal"/>
      <w:pPr>
        <w:pBdr/>
        <w:spacing/>
        <w:ind w:hanging="720" w:left="2160"/>
      </w:pPr>
      <w:rPr>
        <w:rFonts w:hint="default"/>
      </w:rPr>
      <w:start w:val="1"/>
      <w:suff w:val="space"/>
    </w:lvl>
    <w:lvl w:ilvl="4">
      <w:isLgl w:val="true"/>
      <w:lvlJc w:val="left"/>
      <w:lvlText w:val="%1.%2.%3.%4.%5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5">
      <w:isLgl w:val="true"/>
      <w:lvlJc w:val="left"/>
      <w:lvlText w:val="%1.%2.%3.%4.%5.%6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5040"/>
      </w:pPr>
      <w:rPr>
        <w:rFonts w:hint="default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true"/>
      <w:lvlJc w:val="left"/>
      <w:lvlText w:val="%1.%2"/>
      <w:numFmt w:val="decimal"/>
      <w:pPr>
        <w:pBdr/>
        <w:spacing/>
        <w:ind w:hanging="420" w:left="1140"/>
      </w:pPr>
      <w:rPr>
        <w:rFonts w:hint="default"/>
      </w:rPr>
      <w:start w:val="1"/>
      <w:suff w:val="space"/>
    </w:lvl>
    <w:lvl w:ilvl="2">
      <w:isLgl w:val="true"/>
      <w:lvlJc w:val="left"/>
      <w:lvlText w:val="%1.%2.%3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3">
      <w:isLgl w:val="true"/>
      <w:lvlJc w:val="left"/>
      <w:lvlText w:val="%1.%2.%3.%4"/>
      <w:numFmt w:val="decimal"/>
      <w:pPr>
        <w:pBdr/>
        <w:spacing/>
        <w:ind w:hanging="720" w:left="2160"/>
      </w:pPr>
      <w:rPr>
        <w:rFonts w:hint="default"/>
      </w:rPr>
      <w:start w:val="1"/>
      <w:suff w:val="space"/>
    </w:lvl>
    <w:lvl w:ilvl="4">
      <w:isLgl w:val="true"/>
      <w:lvlJc w:val="left"/>
      <w:lvlText w:val="%1.%2.%3.%4.%5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5">
      <w:isLgl w:val="true"/>
      <w:lvlJc w:val="left"/>
      <w:lvlText w:val="%1.%2.%3.%4.%5.%6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5040"/>
      </w:pPr>
      <w:rPr>
        <w:rFonts w:hint="default"/>
      </w:rPr>
      <w:start w:val="1"/>
      <w:suff w:val="space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rFonts w:hint="default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9"/>
    <w:next w:val="62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30"/>
    <w:link w:val="42"/>
    <w:uiPriority w:val="99"/>
    <w:pPr>
      <w:pBdr/>
      <w:spacing/>
      <w:ind/>
    </w:pPr>
  </w:style>
  <w:style w:type="paragraph" w:styleId="44">
    <w:name w:val="Footer"/>
    <w:basedOn w:val="62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30"/>
    <w:link w:val="44"/>
    <w:uiPriority w:val="99"/>
    <w:pPr>
      <w:pBdr/>
      <w:spacing/>
      <w:ind/>
    </w:pPr>
  </w:style>
  <w:style w:type="paragraph" w:styleId="46">
    <w:name w:val="Caption"/>
    <w:basedOn w:val="629"/>
    <w:next w:val="62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9"/>
    <w:next w:val="62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9"/>
    <w:next w:val="62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9"/>
    <w:next w:val="62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9"/>
    <w:next w:val="62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9"/>
    <w:next w:val="62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9"/>
    <w:next w:val="62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9"/>
    <w:next w:val="62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9"/>
    <w:next w:val="62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сивачева</dc:creator>
  <cp:keywords/>
  <dc:description/>
  <cp:revision>12</cp:revision>
  <dcterms:created xsi:type="dcterms:W3CDTF">2024-07-15T14:18:00Z</dcterms:created>
  <dcterms:modified xsi:type="dcterms:W3CDTF">2024-07-25T11:41:05Z</dcterms:modified>
</cp:coreProperties>
</file>